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4B0" w:rsidRDefault="00F534B0" w:rsidP="00D7083A">
      <w:pPr>
        <w:widowControl w:val="0"/>
        <w:autoSpaceDE w:val="0"/>
        <w:autoSpaceDN w:val="0"/>
        <w:adjustRightInd w:val="0"/>
        <w:spacing w:after="0" w:line="360" w:lineRule="auto"/>
        <w:rPr>
          <w:rFonts w:eastAsia="Arial" w:cstheme="minorHAnsi"/>
          <w:b/>
          <w:sz w:val="24"/>
          <w:szCs w:val="24"/>
          <w:bdr w:val="nil"/>
          <w:lang w:val="en-US" w:eastAsia="de-DE"/>
        </w:rPr>
      </w:pPr>
    </w:p>
    <w:p w:rsidR="00F40201" w:rsidRPr="00540253" w:rsidRDefault="00F40201" w:rsidP="00F40201">
      <w:pPr>
        <w:spacing w:after="0" w:line="240" w:lineRule="auto"/>
        <w:jc w:val="both"/>
        <w:rPr>
          <w:b/>
          <w:color w:val="1F497D" w:themeColor="text2"/>
          <w:sz w:val="36"/>
          <w:szCs w:val="36"/>
          <w:lang w:val="en-US"/>
        </w:rPr>
      </w:pPr>
      <w:r w:rsidRPr="00540253">
        <w:rPr>
          <w:b/>
          <w:color w:val="1F497D" w:themeColor="text2"/>
          <w:sz w:val="36"/>
          <w:szCs w:val="36"/>
          <w:lang w:val="en-US"/>
        </w:rPr>
        <w:t>Rotary Encoders and Motor Feedback Systems:</w:t>
      </w:r>
    </w:p>
    <w:p w:rsidR="009B2AE6" w:rsidRPr="00540253" w:rsidRDefault="00F40201" w:rsidP="00F40201">
      <w:pPr>
        <w:spacing w:after="0" w:line="240" w:lineRule="auto"/>
        <w:jc w:val="both"/>
        <w:rPr>
          <w:b/>
          <w:color w:val="1F497D" w:themeColor="text2"/>
          <w:sz w:val="36"/>
          <w:szCs w:val="36"/>
          <w:lang w:val="en-US"/>
        </w:rPr>
      </w:pPr>
      <w:r w:rsidRPr="00540253">
        <w:rPr>
          <w:b/>
          <w:color w:val="1F497D" w:themeColor="text2"/>
          <w:sz w:val="36"/>
          <w:szCs w:val="36"/>
          <w:lang w:val="en-US"/>
        </w:rPr>
        <w:t>The New System-on-Chip for Optical Absolute Encoders</w:t>
      </w:r>
    </w:p>
    <w:p w:rsidR="00F40201" w:rsidRPr="00540253" w:rsidRDefault="00F40201" w:rsidP="00F40201">
      <w:pPr>
        <w:spacing w:after="0" w:line="240" w:lineRule="auto"/>
        <w:jc w:val="both"/>
        <w:rPr>
          <w:b/>
          <w:color w:val="1F497D" w:themeColor="text2"/>
          <w:sz w:val="40"/>
          <w:lang w:val="en-US"/>
        </w:rPr>
      </w:pPr>
    </w:p>
    <w:p w:rsidR="00D104F6" w:rsidRPr="00540253" w:rsidRDefault="00F40201" w:rsidP="00F40201">
      <w:pPr>
        <w:spacing w:after="0" w:line="360" w:lineRule="auto"/>
        <w:jc w:val="both"/>
        <w:rPr>
          <w:rFonts w:ascii="Calibri" w:eastAsia="Calibri" w:hAnsi="Calibri" w:cs="Calibri"/>
          <w:b/>
          <w:sz w:val="28"/>
          <w:szCs w:val="28"/>
          <w:lang w:val="en-US"/>
        </w:rPr>
      </w:pPr>
      <w:r w:rsidRPr="00540253">
        <w:rPr>
          <w:rFonts w:ascii="Calibri" w:eastAsia="Calibri" w:hAnsi="Calibri" w:cs="Calibri"/>
          <w:b/>
          <w:sz w:val="28"/>
          <w:szCs w:val="28"/>
          <w:lang w:val="en-US"/>
        </w:rPr>
        <w:t>Highlight at</w:t>
      </w:r>
      <w:r w:rsidR="009B2AE6" w:rsidRPr="00540253">
        <w:rPr>
          <w:rFonts w:ascii="Calibri" w:eastAsia="Calibri" w:hAnsi="Calibri" w:cs="Calibri"/>
          <w:b/>
          <w:sz w:val="28"/>
          <w:szCs w:val="28"/>
          <w:lang w:val="en-US"/>
        </w:rPr>
        <w:t xml:space="preserve"> SPS 2025 (</w:t>
      </w:r>
      <w:r w:rsidR="00B81496" w:rsidRPr="00540253">
        <w:rPr>
          <w:rFonts w:ascii="Calibri" w:eastAsia="Calibri" w:hAnsi="Calibri" w:cs="Calibri"/>
          <w:b/>
          <w:sz w:val="28"/>
          <w:szCs w:val="28"/>
          <w:lang w:val="en-US"/>
        </w:rPr>
        <w:t xml:space="preserve">Hall </w:t>
      </w:r>
      <w:r w:rsidR="009B2AE6" w:rsidRPr="00540253">
        <w:rPr>
          <w:rFonts w:ascii="Calibri" w:eastAsia="Calibri" w:hAnsi="Calibri" w:cs="Calibri"/>
          <w:b/>
          <w:sz w:val="28"/>
          <w:szCs w:val="28"/>
          <w:lang w:val="en-US"/>
        </w:rPr>
        <w:t xml:space="preserve">4A, </w:t>
      </w:r>
      <w:r w:rsidR="00B81496">
        <w:rPr>
          <w:rFonts w:ascii="Calibri" w:eastAsia="Calibri" w:hAnsi="Calibri" w:cs="Calibri"/>
          <w:b/>
          <w:sz w:val="28"/>
          <w:szCs w:val="28"/>
          <w:lang w:val="en-US"/>
        </w:rPr>
        <w:t xml:space="preserve">Booth </w:t>
      </w:r>
      <w:r w:rsidR="009B2AE6" w:rsidRPr="00540253">
        <w:rPr>
          <w:rFonts w:ascii="Calibri" w:eastAsia="Calibri" w:hAnsi="Calibri" w:cs="Calibri"/>
          <w:b/>
          <w:sz w:val="28"/>
          <w:szCs w:val="28"/>
          <w:lang w:val="en-US"/>
        </w:rPr>
        <w:t xml:space="preserve">146) </w:t>
      </w:r>
    </w:p>
    <w:p w:rsidR="009B2AE6" w:rsidRPr="00540253" w:rsidRDefault="00F40201" w:rsidP="00F40201">
      <w:pPr>
        <w:spacing w:after="0" w:line="360" w:lineRule="auto"/>
        <w:jc w:val="both"/>
        <w:rPr>
          <w:lang w:val="en-US"/>
        </w:rPr>
      </w:pPr>
      <w:r w:rsidRPr="00540253">
        <w:rPr>
          <w:lang w:val="en-US"/>
        </w:rPr>
        <w:t>The iC-RT2624 from iC-Haus is the new System-on-Chip for optical absolute encoders. Its powerful interpolation circuit detects the angle of a code disc with 26-bit resolution. Thanks to contamination-tolerant scanning and high mounting tolerances, the iC-RT2624 is ideal for housed and kit encoders.</w:t>
      </w:r>
    </w:p>
    <w:p w:rsidR="00F40201" w:rsidRPr="00540253" w:rsidRDefault="00F40201" w:rsidP="00F40201">
      <w:pPr>
        <w:spacing w:after="0" w:line="360" w:lineRule="auto"/>
        <w:jc w:val="both"/>
        <w:rPr>
          <w:lang w:val="en-US"/>
        </w:rPr>
      </w:pPr>
    </w:p>
    <w:p w:rsidR="009B2AE6" w:rsidRDefault="009B2AE6" w:rsidP="009B2AE6">
      <w:pPr>
        <w:spacing w:after="0"/>
      </w:pPr>
      <w:r w:rsidRPr="007340BC">
        <w:rPr>
          <w:noProof/>
          <w:lang w:eastAsia="de-DE"/>
        </w:rPr>
        <w:drawing>
          <wp:inline distT="0" distB="0" distL="0" distR="0" wp14:anchorId="17A3519E" wp14:editId="6F7EEB52">
            <wp:extent cx="5760720" cy="3546443"/>
            <wp:effectExtent l="0" t="0" r="0" b="0"/>
            <wp:docPr id="1" name="Grafik 1" descr="V:\Picbib\PR_Bilder\iC-RT2624_Pics_2025\251006_iCH_RT_PR-Motiv-Ausschnitte\251006_iCH_RT_rgb_News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cbib\PR_Bilder\iC-RT2624_Pics_2025\251006_iCH_RT_PR-Motiv-Ausschnitte\251006_iCH_RT_rgb_Newspi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546443"/>
                    </a:xfrm>
                    <a:prstGeom prst="rect">
                      <a:avLst/>
                    </a:prstGeom>
                    <a:noFill/>
                    <a:ln>
                      <a:noFill/>
                    </a:ln>
                  </pic:spPr>
                </pic:pic>
              </a:graphicData>
            </a:graphic>
          </wp:inline>
        </w:drawing>
      </w:r>
    </w:p>
    <w:p w:rsidR="009B2AE6" w:rsidRPr="00540253" w:rsidRDefault="00F40201" w:rsidP="009B2AE6">
      <w:pPr>
        <w:spacing w:after="0"/>
        <w:jc w:val="both"/>
        <w:rPr>
          <w:b/>
          <w:sz w:val="18"/>
          <w:lang w:val="en-US"/>
        </w:rPr>
      </w:pPr>
      <w:r w:rsidRPr="00540253">
        <w:rPr>
          <w:b/>
          <w:sz w:val="18"/>
          <w:lang w:val="en-US"/>
        </w:rPr>
        <w:t>Image</w:t>
      </w:r>
      <w:r w:rsidR="009B2AE6" w:rsidRPr="00540253">
        <w:rPr>
          <w:b/>
          <w:sz w:val="18"/>
          <w:lang w:val="en-US"/>
        </w:rPr>
        <w:t xml:space="preserve">: iC-Haus GmbH </w:t>
      </w:r>
    </w:p>
    <w:p w:rsidR="009B2AE6" w:rsidRPr="00540253" w:rsidRDefault="009B2AE6" w:rsidP="009B2AE6">
      <w:pPr>
        <w:jc w:val="both"/>
        <w:rPr>
          <w:lang w:val="en-US"/>
        </w:rPr>
      </w:pPr>
    </w:p>
    <w:p w:rsidR="009B2AE6" w:rsidRPr="00540253" w:rsidRDefault="00F40201" w:rsidP="009B2AE6">
      <w:pPr>
        <w:spacing w:after="0" w:line="360" w:lineRule="auto"/>
        <w:jc w:val="both"/>
        <w:rPr>
          <w:lang w:val="en-US"/>
        </w:rPr>
      </w:pPr>
      <w:r w:rsidRPr="00540253">
        <w:rPr>
          <w:b/>
          <w:lang w:val="en-US"/>
        </w:rPr>
        <w:t>Bodenheim, October</w:t>
      </w:r>
      <w:r w:rsidR="009B2AE6" w:rsidRPr="00540253">
        <w:rPr>
          <w:b/>
          <w:lang w:val="en-US"/>
        </w:rPr>
        <w:t xml:space="preserve"> 2025:</w:t>
      </w:r>
      <w:r w:rsidR="009B2AE6" w:rsidRPr="00540253">
        <w:rPr>
          <w:lang w:val="en-US"/>
        </w:rPr>
        <w:t xml:space="preserve"> </w:t>
      </w:r>
      <w:r w:rsidRPr="00540253">
        <w:rPr>
          <w:lang w:val="en-US"/>
        </w:rPr>
        <w:t xml:space="preserve">Precise, innovative, and flexible in application: that is the new System-on-Chip (SoC) for optical absolute encoders from iC-Haus. The iC-RT2624 impresses with state-of-the-art photodetectors and robust, contamination-tolerant scanning. The microelectronics integrated in the compact 7 mm x 5 mm </w:t>
      </w:r>
      <w:proofErr w:type="spellStart"/>
      <w:r w:rsidRPr="00540253">
        <w:rPr>
          <w:lang w:val="en-US"/>
        </w:rPr>
        <w:t>optoQFN</w:t>
      </w:r>
      <w:proofErr w:type="spellEnd"/>
      <w:r w:rsidRPr="00540253">
        <w:rPr>
          <w:lang w:val="en-US"/>
        </w:rPr>
        <w:t xml:space="preserve"> package delivers accurate measurements within high mounting tolerances. The powerful interpolation circuit with filtering at the heart of the system reliably detects the angle of a 26 mm code disc with 26-bit resolution, even in demanding, dynamic applications. Digitized angle information is available to the BiSS, SSI, or SPI serial interfaces in less than one </w:t>
      </w:r>
      <w:r w:rsidRPr="00540253">
        <w:rPr>
          <w:lang w:val="en-US"/>
        </w:rPr>
        <w:lastRenderedPageBreak/>
        <w:t xml:space="preserve">microsecond. A programmable ABZ generator with </w:t>
      </w:r>
      <w:proofErr w:type="spellStart"/>
      <w:r w:rsidRPr="00540253">
        <w:rPr>
          <w:lang w:val="en-US"/>
        </w:rPr>
        <w:t>FlexCount</w:t>
      </w:r>
      <w:proofErr w:type="spellEnd"/>
      <w:r w:rsidRPr="00540253">
        <w:rPr>
          <w:lang w:val="en-US"/>
        </w:rPr>
        <w:t>® quadrature resolution easily adapts to any controller and provides sharp edges for excellent control quality.</w:t>
      </w:r>
    </w:p>
    <w:p w:rsidR="00F40201" w:rsidRPr="00540253" w:rsidRDefault="00F40201" w:rsidP="009B2AE6">
      <w:pPr>
        <w:spacing w:after="0" w:line="360" w:lineRule="auto"/>
        <w:jc w:val="both"/>
        <w:rPr>
          <w:lang w:val="en-US"/>
        </w:rPr>
      </w:pPr>
    </w:p>
    <w:p w:rsidR="00F40201" w:rsidRPr="00540253" w:rsidRDefault="00F40201" w:rsidP="009B2AE6">
      <w:pPr>
        <w:spacing w:after="0" w:line="360" w:lineRule="auto"/>
        <w:jc w:val="both"/>
        <w:rPr>
          <w:lang w:val="en-US"/>
        </w:rPr>
      </w:pPr>
      <w:r w:rsidRPr="00540253">
        <w:rPr>
          <w:lang w:val="en-US"/>
        </w:rPr>
        <w:t xml:space="preserve">Thanks to auto-calibration and eccentricity compensation, encoder systems with the iC-RT2624 easily achieve an angular accuracy of less than 0.01°. On-chip calibration can be performed via the BiSS and SPI serial interfaces or at the push of a button. This simplifies the production of encoder systems and saves time when commissioning modular kit encoders. The dimensions of the code disc can be freely adjusted with a </w:t>
      </w:r>
      <w:proofErr w:type="spellStart"/>
      <w:r w:rsidRPr="00540253">
        <w:rPr>
          <w:lang w:val="en-US"/>
        </w:rPr>
        <w:t>FlexCode</w:t>
      </w:r>
      <w:proofErr w:type="spellEnd"/>
      <w:r w:rsidRPr="00540253">
        <w:rPr>
          <w:lang w:val="en-US"/>
        </w:rPr>
        <w:t>® design starting at an outer diameter of 20 mm. This allows compact motor feedback and larger hollow shaft encoders to be developed with the same sensor.</w:t>
      </w:r>
    </w:p>
    <w:p w:rsidR="00F40201" w:rsidRPr="00540253" w:rsidRDefault="009B2AE6" w:rsidP="009B2AE6">
      <w:pPr>
        <w:spacing w:after="0" w:line="360" w:lineRule="auto"/>
        <w:jc w:val="both"/>
        <w:rPr>
          <w:lang w:val="en-US"/>
        </w:rPr>
      </w:pPr>
      <w:r w:rsidRPr="00B81496">
        <w:rPr>
          <w:lang w:val="en-US"/>
        </w:rPr>
        <w:br/>
      </w:r>
      <w:r w:rsidR="00F40201" w:rsidRPr="00B81496">
        <w:rPr>
          <w:lang w:val="en-US"/>
        </w:rPr>
        <w:t>Another new feature is the programmable sin/cos generator, which can be set to 2</w:t>
      </w:r>
      <w:r w:rsidR="00F40201" w:rsidRPr="00540253">
        <w:rPr>
          <w:vertAlign w:val="superscript"/>
          <w:lang w:val="en-US"/>
        </w:rPr>
        <w:t>n</w:t>
      </w:r>
      <w:r w:rsidR="00F40201" w:rsidRPr="00B81496">
        <w:rPr>
          <w:lang w:val="en-US"/>
        </w:rPr>
        <w:t xml:space="preserve"> CPR (n = </w:t>
      </w:r>
      <w:proofErr w:type="gramStart"/>
      <w:r w:rsidR="00F40201" w:rsidRPr="00B81496">
        <w:rPr>
          <w:lang w:val="en-US"/>
        </w:rPr>
        <w:t>0..</w:t>
      </w:r>
      <w:proofErr w:type="gramEnd"/>
      <w:r w:rsidR="00F40201" w:rsidRPr="00B81496">
        <w:rPr>
          <w:lang w:val="en-US"/>
        </w:rPr>
        <w:t xml:space="preserve">15) regardless of the base resolution of the code disc. </w:t>
      </w:r>
      <w:r w:rsidR="00F40201" w:rsidRPr="00540253">
        <w:rPr>
          <w:lang w:val="en-US"/>
        </w:rPr>
        <w:t>The native sin/cos resolution is simultaneously available for output and routed through a separate, safety-ready signal path. The integrated Absolute Data Interface (ADI) completes the diverse interfaces of this flexible sensor platform and is compatible with established multiturn sensors from iC-Haus, such as the battery-buffered iC-PVL, the gear scanner iC-MV, or energy harvesting systems with Wiegand wire.</w:t>
      </w:r>
    </w:p>
    <w:p w:rsidR="009B2AE6" w:rsidRPr="00540253" w:rsidRDefault="009B2AE6" w:rsidP="009B2AE6">
      <w:pPr>
        <w:spacing w:after="0" w:line="360" w:lineRule="auto"/>
        <w:jc w:val="both"/>
        <w:rPr>
          <w:lang w:val="en-US"/>
        </w:rPr>
      </w:pPr>
      <w:r w:rsidRPr="00540253">
        <w:rPr>
          <w:lang w:val="en-US"/>
        </w:rPr>
        <w:br/>
      </w:r>
      <w:r w:rsidR="00F40201" w:rsidRPr="00540253">
        <w:rPr>
          <w:lang w:val="en-US"/>
        </w:rPr>
        <w:t>The iC-RT2624 can be operated within 3.0 V to 5.5 V and is sensitive to blue, red, and infrared light. The LED control integrated in the chip adjusts the illumination for an optimal operating point. The encoder SoC is suitable for an operating temperature range of -40 °C to 125 °C. A comprehensive monitoring and diagnostic architecture constantly checks the operating conditions. For instance, a digital contrast measurement detects when condensation or precipitation from outgassing ball bearing grease impairs the optical projection before the angle detection is critically disrupted – for permanent condition monitoring.</w:t>
      </w:r>
    </w:p>
    <w:p w:rsidR="009B2AE6" w:rsidRPr="00540253" w:rsidRDefault="009B2AE6" w:rsidP="009B2AE6">
      <w:pPr>
        <w:spacing w:after="0" w:line="360" w:lineRule="auto"/>
        <w:jc w:val="both"/>
        <w:rPr>
          <w:rFonts w:ascii="Calibri" w:eastAsia="Calibri" w:hAnsi="Calibri" w:cs="Calibri"/>
          <w:b/>
          <w:bCs/>
          <w:sz w:val="28"/>
          <w:szCs w:val="28"/>
          <w:lang w:val="en-US"/>
        </w:rPr>
      </w:pPr>
    </w:p>
    <w:p w:rsidR="009B2AE6" w:rsidRPr="00540253" w:rsidRDefault="009B2AE6" w:rsidP="009B2AE6">
      <w:pPr>
        <w:spacing w:after="0" w:line="360" w:lineRule="auto"/>
        <w:jc w:val="both"/>
        <w:rPr>
          <w:rFonts w:ascii="Calibri" w:eastAsia="Calibri" w:hAnsi="Calibri" w:cs="Calibri"/>
          <w:b/>
          <w:bCs/>
          <w:sz w:val="28"/>
          <w:szCs w:val="28"/>
          <w:lang w:val="en-US"/>
        </w:rPr>
      </w:pPr>
    </w:p>
    <w:p w:rsidR="009B2AE6" w:rsidRPr="00540253" w:rsidRDefault="009B2AE6" w:rsidP="009B2AE6">
      <w:pPr>
        <w:spacing w:after="0" w:line="360" w:lineRule="auto"/>
        <w:jc w:val="both"/>
        <w:rPr>
          <w:rFonts w:ascii="Calibri" w:eastAsia="Calibri" w:hAnsi="Calibri" w:cs="Calibri"/>
          <w:b/>
          <w:bCs/>
          <w:sz w:val="28"/>
          <w:szCs w:val="28"/>
          <w:lang w:val="en-US"/>
        </w:rPr>
      </w:pPr>
    </w:p>
    <w:p w:rsidR="009B2AE6" w:rsidRPr="00540253" w:rsidRDefault="009B2AE6" w:rsidP="009B2AE6">
      <w:pPr>
        <w:spacing w:after="0" w:line="360" w:lineRule="auto"/>
        <w:jc w:val="both"/>
        <w:rPr>
          <w:rFonts w:ascii="Calibri" w:eastAsia="Calibri" w:hAnsi="Calibri" w:cs="Calibri"/>
          <w:b/>
          <w:bCs/>
          <w:sz w:val="28"/>
          <w:szCs w:val="28"/>
          <w:lang w:val="en-US"/>
        </w:rPr>
      </w:pPr>
    </w:p>
    <w:p w:rsidR="009B2AE6" w:rsidRPr="00540253" w:rsidRDefault="009B2AE6" w:rsidP="009B2AE6">
      <w:pPr>
        <w:spacing w:after="0" w:line="360" w:lineRule="auto"/>
        <w:jc w:val="both"/>
        <w:rPr>
          <w:rFonts w:ascii="Calibri" w:eastAsia="Calibri" w:hAnsi="Calibri" w:cs="Calibri"/>
          <w:b/>
          <w:bCs/>
          <w:sz w:val="28"/>
          <w:szCs w:val="28"/>
          <w:lang w:val="en-US"/>
        </w:rPr>
      </w:pPr>
    </w:p>
    <w:p w:rsidR="00F40201" w:rsidRPr="00540253" w:rsidRDefault="00F40201" w:rsidP="009B2AE6">
      <w:pPr>
        <w:spacing w:after="0" w:line="360" w:lineRule="auto"/>
        <w:jc w:val="both"/>
        <w:rPr>
          <w:rFonts w:ascii="Calibri" w:eastAsia="Calibri" w:hAnsi="Calibri" w:cs="Calibri"/>
          <w:b/>
          <w:bCs/>
          <w:sz w:val="28"/>
          <w:szCs w:val="28"/>
          <w:lang w:val="en-US"/>
        </w:rPr>
      </w:pPr>
    </w:p>
    <w:p w:rsidR="00F40201" w:rsidRPr="00540253" w:rsidRDefault="00F40201" w:rsidP="009B2AE6">
      <w:pPr>
        <w:spacing w:after="0" w:line="360" w:lineRule="auto"/>
        <w:jc w:val="both"/>
        <w:rPr>
          <w:rFonts w:ascii="Calibri" w:eastAsia="Calibri" w:hAnsi="Calibri" w:cs="Calibri"/>
          <w:b/>
          <w:bCs/>
          <w:sz w:val="28"/>
          <w:szCs w:val="28"/>
          <w:lang w:val="en-US"/>
        </w:rPr>
      </w:pPr>
    </w:p>
    <w:p w:rsidR="00F40201" w:rsidRPr="00540253" w:rsidRDefault="00F40201" w:rsidP="009B2AE6">
      <w:pPr>
        <w:spacing w:after="0" w:line="360" w:lineRule="auto"/>
        <w:jc w:val="both"/>
        <w:rPr>
          <w:rFonts w:ascii="Calibri" w:eastAsia="Calibri" w:hAnsi="Calibri" w:cs="Calibri"/>
          <w:b/>
          <w:bCs/>
          <w:sz w:val="28"/>
          <w:szCs w:val="28"/>
          <w:lang w:val="en-US"/>
        </w:rPr>
      </w:pPr>
      <w:r w:rsidRPr="00540253">
        <w:rPr>
          <w:rFonts w:ascii="Calibri" w:eastAsia="Calibri" w:hAnsi="Calibri" w:cs="Calibri"/>
          <w:b/>
          <w:bCs/>
          <w:sz w:val="28"/>
          <w:szCs w:val="28"/>
          <w:lang w:val="en-US"/>
        </w:rPr>
        <w:lastRenderedPageBreak/>
        <w:t>Further information on the iC-RT2624:</w:t>
      </w:r>
    </w:p>
    <w:p w:rsidR="009B2AE6" w:rsidRPr="00540253" w:rsidRDefault="009B2AE6" w:rsidP="009B2AE6">
      <w:pPr>
        <w:spacing w:after="0" w:line="360" w:lineRule="auto"/>
        <w:jc w:val="both"/>
        <w:rPr>
          <w:rStyle w:val="Hyperlink"/>
          <w:rFonts w:cstheme="minorHAnsi"/>
          <w:b/>
          <w:lang w:val="en-US"/>
        </w:rPr>
      </w:pPr>
      <w:r w:rsidRPr="006508AE">
        <w:rPr>
          <w:rFonts w:cstheme="minorHAnsi"/>
          <w:b/>
        </w:rPr>
        <w:fldChar w:fldCharType="begin"/>
      </w:r>
      <w:r w:rsidRPr="00540253">
        <w:rPr>
          <w:rFonts w:cstheme="minorHAnsi"/>
          <w:b/>
          <w:lang w:val="en-US"/>
        </w:rPr>
        <w:instrText xml:space="preserve"> HYPERLINK "https://www.ichaus.de/product/ic-RT2624" </w:instrText>
      </w:r>
      <w:r w:rsidRPr="006508AE">
        <w:rPr>
          <w:rFonts w:cstheme="minorHAnsi"/>
          <w:b/>
        </w:rPr>
        <w:fldChar w:fldCharType="separate"/>
      </w:r>
      <w:r w:rsidRPr="00540253">
        <w:rPr>
          <w:rStyle w:val="Hyperlink"/>
          <w:rFonts w:cstheme="minorHAnsi"/>
          <w:b/>
          <w:lang w:val="en-US"/>
        </w:rPr>
        <w:t>https://www.ichaus.de/product/ic-RT2624</w:t>
      </w:r>
    </w:p>
    <w:p w:rsidR="009B2AE6" w:rsidRPr="00540253" w:rsidRDefault="009B2AE6" w:rsidP="009B2AE6">
      <w:pPr>
        <w:spacing w:after="0" w:line="360" w:lineRule="auto"/>
        <w:jc w:val="both"/>
        <w:rPr>
          <w:rFonts w:cstheme="minorHAnsi"/>
          <w:lang w:val="en-US"/>
        </w:rPr>
      </w:pPr>
      <w:r w:rsidRPr="006508AE">
        <w:rPr>
          <w:rFonts w:cstheme="minorHAnsi"/>
          <w:b/>
        </w:rPr>
        <w:fldChar w:fldCharType="end"/>
      </w:r>
      <w:bookmarkStart w:id="0" w:name="_GoBack"/>
      <w:bookmarkEnd w:id="0"/>
    </w:p>
    <w:sectPr w:rsidR="009B2AE6" w:rsidRPr="00540253" w:rsidSect="003467A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113"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A640" w16cex:dateUtc="2021-02-08T11:00:00Z"/>
  <w16cex:commentExtensible w16cex:durableId="23CBDC4D" w16cex:dateUtc="2021-02-08T14:50:00Z"/>
  <w16cex:commentExtensible w16cex:durableId="23CBA589" w16cex:dateUtc="2021-02-08T10: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1E0" w:rsidRDefault="00B601E0" w:rsidP="00E45C92">
      <w:pPr>
        <w:spacing w:after="0" w:line="240" w:lineRule="auto"/>
      </w:pPr>
      <w:r>
        <w:separator/>
      </w:r>
    </w:p>
  </w:endnote>
  <w:endnote w:type="continuationSeparator" w:id="0">
    <w:p w:rsidR="00B601E0" w:rsidRDefault="00B601E0" w:rsidP="00E4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497440"/>
      <w:docPartObj>
        <w:docPartGallery w:val="Page Numbers (Bottom of Page)"/>
        <w:docPartUnique/>
      </w:docPartObj>
    </w:sdtPr>
    <w:sdtEndPr/>
    <w:sdtContent>
      <w:sdt>
        <w:sdtPr>
          <w:id w:val="860082579"/>
          <w:docPartObj>
            <w:docPartGallery w:val="Page Numbers (Top of Page)"/>
            <w:docPartUnique/>
          </w:docPartObj>
        </w:sdtPr>
        <w:sdtEndPr/>
        <w:sdtContent>
          <w:p w:rsidR="007C2A32" w:rsidRDefault="003C1F6E">
            <w:pPr>
              <w:pStyle w:val="a7"/>
              <w:jc w:val="right"/>
            </w:pPr>
            <w:r>
              <w:t>Page</w:t>
            </w:r>
            <w:r w:rsidR="007C2A32">
              <w:t xml:space="preserve"> </w:t>
            </w:r>
            <w:r w:rsidR="007C2A32">
              <w:rPr>
                <w:b/>
                <w:bCs/>
                <w:sz w:val="24"/>
                <w:szCs w:val="24"/>
              </w:rPr>
              <w:fldChar w:fldCharType="begin"/>
            </w:r>
            <w:r w:rsidR="007C2A32">
              <w:rPr>
                <w:b/>
                <w:bCs/>
              </w:rPr>
              <w:instrText>PAGE</w:instrText>
            </w:r>
            <w:r w:rsidR="007C2A32">
              <w:rPr>
                <w:b/>
                <w:bCs/>
                <w:sz w:val="24"/>
                <w:szCs w:val="24"/>
              </w:rPr>
              <w:fldChar w:fldCharType="separate"/>
            </w:r>
            <w:r w:rsidR="00FC4F79">
              <w:rPr>
                <w:b/>
                <w:bCs/>
                <w:noProof/>
              </w:rPr>
              <w:t>3</w:t>
            </w:r>
            <w:r w:rsidR="007C2A32">
              <w:rPr>
                <w:b/>
                <w:bCs/>
                <w:sz w:val="24"/>
                <w:szCs w:val="24"/>
              </w:rPr>
              <w:fldChar w:fldCharType="end"/>
            </w:r>
            <w:r w:rsidR="007C2A32">
              <w:t xml:space="preserve"> von </w:t>
            </w:r>
            <w:r w:rsidR="007C2A32">
              <w:rPr>
                <w:b/>
                <w:bCs/>
                <w:sz w:val="24"/>
                <w:szCs w:val="24"/>
              </w:rPr>
              <w:fldChar w:fldCharType="begin"/>
            </w:r>
            <w:r w:rsidR="007C2A32">
              <w:rPr>
                <w:b/>
                <w:bCs/>
              </w:rPr>
              <w:instrText>NUMPAGES</w:instrText>
            </w:r>
            <w:r w:rsidR="007C2A32">
              <w:rPr>
                <w:b/>
                <w:bCs/>
                <w:sz w:val="24"/>
                <w:szCs w:val="24"/>
              </w:rPr>
              <w:fldChar w:fldCharType="separate"/>
            </w:r>
            <w:r w:rsidR="00FC4F79">
              <w:rPr>
                <w:b/>
                <w:bCs/>
                <w:noProof/>
              </w:rPr>
              <w:t>3</w:t>
            </w:r>
            <w:r w:rsidR="007C2A32">
              <w:rPr>
                <w:b/>
                <w:bCs/>
                <w:sz w:val="24"/>
                <w:szCs w:val="24"/>
              </w:rPr>
              <w:fldChar w:fldCharType="end"/>
            </w:r>
          </w:p>
        </w:sdtContent>
      </w:sdt>
    </w:sdtContent>
  </w:sdt>
  <w:p w:rsidR="007C2A32" w:rsidRDefault="007C2A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1E0" w:rsidRDefault="00B601E0" w:rsidP="00E45C92">
      <w:pPr>
        <w:spacing w:after="0" w:line="240" w:lineRule="auto"/>
      </w:pPr>
      <w:r>
        <w:separator/>
      </w:r>
    </w:p>
  </w:footnote>
  <w:footnote w:type="continuationSeparator" w:id="0">
    <w:p w:rsidR="00B601E0" w:rsidRDefault="00B601E0" w:rsidP="00E4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67" w:rsidRPr="00B27777" w:rsidRDefault="00D372CA" w:rsidP="003467AD">
    <w:pPr>
      <w:spacing w:after="120" w:line="240" w:lineRule="auto"/>
      <w:rPr>
        <w:rFonts w:ascii="Times New Roman" w:hAnsi="Times New Roman"/>
        <w:b/>
        <w:bCs/>
        <w:color w:val="002060"/>
        <w:sz w:val="28"/>
        <w:szCs w:val="28"/>
      </w:rPr>
    </w:pPr>
    <w:r>
      <w:rPr>
        <w:rFonts w:ascii="Calibri" w:hAnsi="Calibri" w:cs="Calibri"/>
        <w:b/>
        <w:bCs/>
        <w:color w:val="002060"/>
        <w:sz w:val="36"/>
        <w:szCs w:val="36"/>
      </w:rPr>
      <w:t>Press Release</w:t>
    </w:r>
    <w:r>
      <w:rPr>
        <w:rFonts w:ascii="Calibri" w:hAnsi="Calibri" w:cs="Calibri"/>
        <w:b/>
        <w:bCs/>
        <w:color w:val="002060"/>
        <w:sz w:val="36"/>
        <w:szCs w:val="36"/>
      </w:rPr>
      <w:tab/>
    </w:r>
    <w:r>
      <w:rPr>
        <w:rFonts w:ascii="Calibri" w:hAnsi="Calibri" w:cs="Calibri"/>
        <w:b/>
        <w:bCs/>
        <w:color w:val="002060"/>
        <w:sz w:val="36"/>
        <w:szCs w:val="36"/>
      </w:rPr>
      <w:tab/>
    </w:r>
    <w:r w:rsidR="00B27777" w:rsidRPr="003467AD">
      <w:rPr>
        <w:rFonts w:ascii="Calibri" w:hAnsi="Calibri" w:cs="Calibri"/>
        <w:b/>
        <w:bCs/>
        <w:color w:val="002060"/>
        <w:sz w:val="36"/>
        <w:szCs w:val="36"/>
      </w:rPr>
      <w:t xml:space="preserve">   </w:t>
    </w:r>
    <w:r w:rsidR="00B27777" w:rsidRPr="00B27777">
      <w:rPr>
        <w:rFonts w:ascii="Calibri" w:hAnsi="Calibri" w:cs="Calibri"/>
        <w:b/>
        <w:bCs/>
        <w:color w:val="002060"/>
        <w:sz w:val="28"/>
        <w:szCs w:val="28"/>
      </w:rPr>
      <w:t xml:space="preserve">                                </w:t>
    </w:r>
    <w:r w:rsidR="003467AD">
      <w:rPr>
        <w:rFonts w:ascii="Calibri" w:hAnsi="Calibri" w:cs="Calibri"/>
        <w:b/>
        <w:bCs/>
        <w:color w:val="002060"/>
        <w:sz w:val="28"/>
        <w:szCs w:val="28"/>
      </w:rPr>
      <w:t xml:space="preserve">  </w:t>
    </w:r>
    <w:r w:rsidR="00B27777" w:rsidRPr="00B27777">
      <w:rPr>
        <w:rFonts w:ascii="Calibri" w:hAnsi="Calibri" w:cs="Calibri"/>
        <w:b/>
        <w:bCs/>
        <w:color w:val="002060"/>
        <w:sz w:val="28"/>
        <w:szCs w:val="28"/>
      </w:rPr>
      <w:t xml:space="preserve">                  </w:t>
    </w:r>
    <w:r w:rsidR="005F0567" w:rsidRPr="00B27777">
      <w:rPr>
        <w:rFonts w:ascii="Calibri" w:hAnsi="Calibri" w:cs="Calibri"/>
        <w:b/>
        <w:bCs/>
        <w:color w:val="002060"/>
        <w:sz w:val="28"/>
        <w:szCs w:val="28"/>
      </w:rPr>
      <w:t xml:space="preserve"> </w:t>
    </w:r>
    <w:r w:rsidR="00B27777" w:rsidRPr="003467AD">
      <w:rPr>
        <w:noProof/>
        <w:sz w:val="18"/>
        <w:lang w:eastAsia="de-DE"/>
      </w:rPr>
      <w:drawing>
        <wp:inline distT="0" distB="0" distL="0" distR="0" wp14:anchorId="6BED36D8" wp14:editId="70EA49A7">
          <wp:extent cx="1531620" cy="1082941"/>
          <wp:effectExtent l="0" t="0" r="0" b="0"/>
          <wp:docPr id="8" name="Grafik 8" descr="V:\Picbib\iC-Haus-Logo\iC-Haus-Logo_subline\iC-Haus-Logo_sub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icbib\iC-Haus-Logo\iC-Haus-Logo_subline\iC-Haus-Logo_sub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0829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6E" w:rsidRDefault="003C1F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5E8"/>
    <w:multiLevelType w:val="hybridMultilevel"/>
    <w:tmpl w:val="FA7E4D7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2B64BF1"/>
    <w:multiLevelType w:val="hybridMultilevel"/>
    <w:tmpl w:val="462090D8"/>
    <w:lvl w:ilvl="0" w:tplc="2F5C6B7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727161"/>
    <w:multiLevelType w:val="hybridMultilevel"/>
    <w:tmpl w:val="C74AE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3D1DF1"/>
    <w:multiLevelType w:val="hybridMultilevel"/>
    <w:tmpl w:val="ADB69788"/>
    <w:lvl w:ilvl="0" w:tplc="7D9C468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275DA0"/>
    <w:multiLevelType w:val="hybridMultilevel"/>
    <w:tmpl w:val="24868740"/>
    <w:lvl w:ilvl="0" w:tplc="E050D716">
      <w:start w:val="20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5F"/>
    <w:rsid w:val="000037EA"/>
    <w:rsid w:val="00011D02"/>
    <w:rsid w:val="000138DD"/>
    <w:rsid w:val="00031AAD"/>
    <w:rsid w:val="0003284F"/>
    <w:rsid w:val="00045C13"/>
    <w:rsid w:val="00051CF0"/>
    <w:rsid w:val="0005350F"/>
    <w:rsid w:val="000548BD"/>
    <w:rsid w:val="00057B43"/>
    <w:rsid w:val="00060B45"/>
    <w:rsid w:val="000624D5"/>
    <w:rsid w:val="00067DEF"/>
    <w:rsid w:val="00083DA6"/>
    <w:rsid w:val="000911BE"/>
    <w:rsid w:val="0009147E"/>
    <w:rsid w:val="0009758A"/>
    <w:rsid w:val="000A18CA"/>
    <w:rsid w:val="000A41FB"/>
    <w:rsid w:val="000A42EC"/>
    <w:rsid w:val="000A4FFD"/>
    <w:rsid w:val="000A5981"/>
    <w:rsid w:val="000B01AF"/>
    <w:rsid w:val="000B3703"/>
    <w:rsid w:val="000C12E0"/>
    <w:rsid w:val="000C21CA"/>
    <w:rsid w:val="000C5B28"/>
    <w:rsid w:val="000C68B1"/>
    <w:rsid w:val="000D010E"/>
    <w:rsid w:val="000D07C4"/>
    <w:rsid w:val="000D3613"/>
    <w:rsid w:val="000D5CDD"/>
    <w:rsid w:val="000D6D55"/>
    <w:rsid w:val="000E383F"/>
    <w:rsid w:val="000E4247"/>
    <w:rsid w:val="000E51A6"/>
    <w:rsid w:val="000F3796"/>
    <w:rsid w:val="000F3C3E"/>
    <w:rsid w:val="000F5834"/>
    <w:rsid w:val="000F59EB"/>
    <w:rsid w:val="000F640E"/>
    <w:rsid w:val="00100EB4"/>
    <w:rsid w:val="00103ACF"/>
    <w:rsid w:val="00104A0D"/>
    <w:rsid w:val="001109F7"/>
    <w:rsid w:val="00113596"/>
    <w:rsid w:val="001139FE"/>
    <w:rsid w:val="001153A1"/>
    <w:rsid w:val="0011631D"/>
    <w:rsid w:val="001163A6"/>
    <w:rsid w:val="00117796"/>
    <w:rsid w:val="00121147"/>
    <w:rsid w:val="00122E26"/>
    <w:rsid w:val="00124813"/>
    <w:rsid w:val="00124D5C"/>
    <w:rsid w:val="00124F8E"/>
    <w:rsid w:val="00126FC2"/>
    <w:rsid w:val="00130C1B"/>
    <w:rsid w:val="00132DBA"/>
    <w:rsid w:val="00140749"/>
    <w:rsid w:val="00145D63"/>
    <w:rsid w:val="001506B7"/>
    <w:rsid w:val="00152AEC"/>
    <w:rsid w:val="00152B93"/>
    <w:rsid w:val="0017066D"/>
    <w:rsid w:val="00187514"/>
    <w:rsid w:val="0019081C"/>
    <w:rsid w:val="0019281A"/>
    <w:rsid w:val="001978FD"/>
    <w:rsid w:val="001A5170"/>
    <w:rsid w:val="001A5E62"/>
    <w:rsid w:val="001A623B"/>
    <w:rsid w:val="001B0A4B"/>
    <w:rsid w:val="001B265A"/>
    <w:rsid w:val="001C71D4"/>
    <w:rsid w:val="001D2723"/>
    <w:rsid w:val="001D5258"/>
    <w:rsid w:val="001E46D1"/>
    <w:rsid w:val="001E4D20"/>
    <w:rsid w:val="001E4EA2"/>
    <w:rsid w:val="001E56A7"/>
    <w:rsid w:val="001E6310"/>
    <w:rsid w:val="001E70EF"/>
    <w:rsid w:val="001E75D6"/>
    <w:rsid w:val="001F18BA"/>
    <w:rsid w:val="001F2134"/>
    <w:rsid w:val="0021307B"/>
    <w:rsid w:val="00213DC7"/>
    <w:rsid w:val="00214D0D"/>
    <w:rsid w:val="00220579"/>
    <w:rsid w:val="00223DA3"/>
    <w:rsid w:val="00224366"/>
    <w:rsid w:val="002264ED"/>
    <w:rsid w:val="00233E7E"/>
    <w:rsid w:val="00236D40"/>
    <w:rsid w:val="00242A9C"/>
    <w:rsid w:val="0025001B"/>
    <w:rsid w:val="00250CB8"/>
    <w:rsid w:val="00256848"/>
    <w:rsid w:val="00262DD0"/>
    <w:rsid w:val="00263316"/>
    <w:rsid w:val="00264C41"/>
    <w:rsid w:val="00270E2A"/>
    <w:rsid w:val="0027219C"/>
    <w:rsid w:val="002721B1"/>
    <w:rsid w:val="002724FF"/>
    <w:rsid w:val="00286988"/>
    <w:rsid w:val="00291C59"/>
    <w:rsid w:val="00293B14"/>
    <w:rsid w:val="002A2D54"/>
    <w:rsid w:val="002A71BC"/>
    <w:rsid w:val="002B0DDD"/>
    <w:rsid w:val="002B1674"/>
    <w:rsid w:val="002B3479"/>
    <w:rsid w:val="002B6E3A"/>
    <w:rsid w:val="002C416E"/>
    <w:rsid w:val="002C6540"/>
    <w:rsid w:val="002D6FEB"/>
    <w:rsid w:val="002F12B2"/>
    <w:rsid w:val="002F6EA0"/>
    <w:rsid w:val="0030444A"/>
    <w:rsid w:val="00306A3B"/>
    <w:rsid w:val="003133AF"/>
    <w:rsid w:val="00324215"/>
    <w:rsid w:val="00331A37"/>
    <w:rsid w:val="00336C58"/>
    <w:rsid w:val="003467AD"/>
    <w:rsid w:val="00363903"/>
    <w:rsid w:val="0037046F"/>
    <w:rsid w:val="003877DB"/>
    <w:rsid w:val="00390A87"/>
    <w:rsid w:val="003A0D89"/>
    <w:rsid w:val="003B05BD"/>
    <w:rsid w:val="003B1587"/>
    <w:rsid w:val="003B370B"/>
    <w:rsid w:val="003B722A"/>
    <w:rsid w:val="003C1F6E"/>
    <w:rsid w:val="003C227A"/>
    <w:rsid w:val="003C2DAF"/>
    <w:rsid w:val="003C6119"/>
    <w:rsid w:val="003C633F"/>
    <w:rsid w:val="003D6F35"/>
    <w:rsid w:val="003F106F"/>
    <w:rsid w:val="003F1BEB"/>
    <w:rsid w:val="003F1F75"/>
    <w:rsid w:val="003F3A4D"/>
    <w:rsid w:val="003F7A7A"/>
    <w:rsid w:val="00405C05"/>
    <w:rsid w:val="0041036C"/>
    <w:rsid w:val="0041485F"/>
    <w:rsid w:val="004215E4"/>
    <w:rsid w:val="00430DE4"/>
    <w:rsid w:val="00432D3E"/>
    <w:rsid w:val="00434802"/>
    <w:rsid w:val="00437B1D"/>
    <w:rsid w:val="00440FC1"/>
    <w:rsid w:val="00445C86"/>
    <w:rsid w:val="0044633D"/>
    <w:rsid w:val="0045300A"/>
    <w:rsid w:val="00455329"/>
    <w:rsid w:val="00456C22"/>
    <w:rsid w:val="00457234"/>
    <w:rsid w:val="00457D82"/>
    <w:rsid w:val="0046393C"/>
    <w:rsid w:val="004647CB"/>
    <w:rsid w:val="00465EF7"/>
    <w:rsid w:val="0047133C"/>
    <w:rsid w:val="00485206"/>
    <w:rsid w:val="004933D6"/>
    <w:rsid w:val="00493878"/>
    <w:rsid w:val="0049560E"/>
    <w:rsid w:val="004956B9"/>
    <w:rsid w:val="004975EA"/>
    <w:rsid w:val="00497BF0"/>
    <w:rsid w:val="004A1D6D"/>
    <w:rsid w:val="004A638A"/>
    <w:rsid w:val="004A7B91"/>
    <w:rsid w:val="004B00FA"/>
    <w:rsid w:val="004B056A"/>
    <w:rsid w:val="004B23DE"/>
    <w:rsid w:val="004C1DFB"/>
    <w:rsid w:val="004D1743"/>
    <w:rsid w:val="004D22F1"/>
    <w:rsid w:val="004D36FA"/>
    <w:rsid w:val="004D5501"/>
    <w:rsid w:val="004D5D3C"/>
    <w:rsid w:val="004D7B20"/>
    <w:rsid w:val="004F2414"/>
    <w:rsid w:val="004F307E"/>
    <w:rsid w:val="004F3BD5"/>
    <w:rsid w:val="005063A0"/>
    <w:rsid w:val="005153D5"/>
    <w:rsid w:val="005274FB"/>
    <w:rsid w:val="00534791"/>
    <w:rsid w:val="00540253"/>
    <w:rsid w:val="005428DC"/>
    <w:rsid w:val="00546AAF"/>
    <w:rsid w:val="00556582"/>
    <w:rsid w:val="005668DC"/>
    <w:rsid w:val="00567D0E"/>
    <w:rsid w:val="005739C5"/>
    <w:rsid w:val="00576C60"/>
    <w:rsid w:val="00580CF2"/>
    <w:rsid w:val="00582117"/>
    <w:rsid w:val="00582125"/>
    <w:rsid w:val="00592F57"/>
    <w:rsid w:val="0059373A"/>
    <w:rsid w:val="00597DF1"/>
    <w:rsid w:val="005A2E86"/>
    <w:rsid w:val="005A6CD3"/>
    <w:rsid w:val="005C5B74"/>
    <w:rsid w:val="005D0817"/>
    <w:rsid w:val="005D3A87"/>
    <w:rsid w:val="005D4665"/>
    <w:rsid w:val="005E5807"/>
    <w:rsid w:val="005E7BC3"/>
    <w:rsid w:val="005F0567"/>
    <w:rsid w:val="005F12AE"/>
    <w:rsid w:val="005F3F11"/>
    <w:rsid w:val="0060427D"/>
    <w:rsid w:val="0060656D"/>
    <w:rsid w:val="00610D58"/>
    <w:rsid w:val="00613959"/>
    <w:rsid w:val="006162E7"/>
    <w:rsid w:val="00617574"/>
    <w:rsid w:val="00621E7D"/>
    <w:rsid w:val="00625B69"/>
    <w:rsid w:val="006273DB"/>
    <w:rsid w:val="0063510D"/>
    <w:rsid w:val="00641416"/>
    <w:rsid w:val="00651F56"/>
    <w:rsid w:val="00655EE8"/>
    <w:rsid w:val="006641D9"/>
    <w:rsid w:val="00675F02"/>
    <w:rsid w:val="006828AC"/>
    <w:rsid w:val="0068631B"/>
    <w:rsid w:val="006A0E51"/>
    <w:rsid w:val="006A26B2"/>
    <w:rsid w:val="006A55EB"/>
    <w:rsid w:val="006A7D4B"/>
    <w:rsid w:val="006B04F9"/>
    <w:rsid w:val="006B504F"/>
    <w:rsid w:val="006B6EBA"/>
    <w:rsid w:val="006C6323"/>
    <w:rsid w:val="006C68F9"/>
    <w:rsid w:val="006D1252"/>
    <w:rsid w:val="006D4BBC"/>
    <w:rsid w:val="006F031A"/>
    <w:rsid w:val="006F27B5"/>
    <w:rsid w:val="006F6CA9"/>
    <w:rsid w:val="00704C38"/>
    <w:rsid w:val="00713784"/>
    <w:rsid w:val="00717DE5"/>
    <w:rsid w:val="007237F8"/>
    <w:rsid w:val="007248C8"/>
    <w:rsid w:val="007254E8"/>
    <w:rsid w:val="00725542"/>
    <w:rsid w:val="007362F3"/>
    <w:rsid w:val="00744041"/>
    <w:rsid w:val="00747D14"/>
    <w:rsid w:val="0075119C"/>
    <w:rsid w:val="007559A5"/>
    <w:rsid w:val="00760588"/>
    <w:rsid w:val="007634E3"/>
    <w:rsid w:val="00764A31"/>
    <w:rsid w:val="00766D6A"/>
    <w:rsid w:val="0077008A"/>
    <w:rsid w:val="007718A5"/>
    <w:rsid w:val="00773141"/>
    <w:rsid w:val="00775310"/>
    <w:rsid w:val="0077716B"/>
    <w:rsid w:val="007821E1"/>
    <w:rsid w:val="00782441"/>
    <w:rsid w:val="00785335"/>
    <w:rsid w:val="00795E61"/>
    <w:rsid w:val="007A0D5C"/>
    <w:rsid w:val="007B1ECC"/>
    <w:rsid w:val="007B2864"/>
    <w:rsid w:val="007B47C9"/>
    <w:rsid w:val="007C2A32"/>
    <w:rsid w:val="007C423C"/>
    <w:rsid w:val="007C6A4F"/>
    <w:rsid w:val="007D4879"/>
    <w:rsid w:val="007D52C8"/>
    <w:rsid w:val="007D6059"/>
    <w:rsid w:val="007E0143"/>
    <w:rsid w:val="007E2271"/>
    <w:rsid w:val="007E3EDF"/>
    <w:rsid w:val="007E4E73"/>
    <w:rsid w:val="007F54B6"/>
    <w:rsid w:val="007F6983"/>
    <w:rsid w:val="0080175F"/>
    <w:rsid w:val="0081350B"/>
    <w:rsid w:val="00815F5A"/>
    <w:rsid w:val="00816013"/>
    <w:rsid w:val="008279ED"/>
    <w:rsid w:val="00833EB3"/>
    <w:rsid w:val="00833FC2"/>
    <w:rsid w:val="00840505"/>
    <w:rsid w:val="00844238"/>
    <w:rsid w:val="008462D8"/>
    <w:rsid w:val="00852864"/>
    <w:rsid w:val="00853733"/>
    <w:rsid w:val="00855E37"/>
    <w:rsid w:val="00857BF8"/>
    <w:rsid w:val="00861AE3"/>
    <w:rsid w:val="00862668"/>
    <w:rsid w:val="00864225"/>
    <w:rsid w:val="008648B5"/>
    <w:rsid w:val="008654C8"/>
    <w:rsid w:val="0087142B"/>
    <w:rsid w:val="008737E7"/>
    <w:rsid w:val="008772DF"/>
    <w:rsid w:val="00882794"/>
    <w:rsid w:val="00883A9C"/>
    <w:rsid w:val="00886C63"/>
    <w:rsid w:val="0089128C"/>
    <w:rsid w:val="008929C1"/>
    <w:rsid w:val="00896988"/>
    <w:rsid w:val="008A0509"/>
    <w:rsid w:val="008A30EF"/>
    <w:rsid w:val="008A3AD0"/>
    <w:rsid w:val="008A3C7E"/>
    <w:rsid w:val="008A510D"/>
    <w:rsid w:val="008B50B0"/>
    <w:rsid w:val="008C5DA3"/>
    <w:rsid w:val="008C6B4F"/>
    <w:rsid w:val="008D1D62"/>
    <w:rsid w:val="008D6DA8"/>
    <w:rsid w:val="008D7F1A"/>
    <w:rsid w:val="008E1E35"/>
    <w:rsid w:val="008E2D1F"/>
    <w:rsid w:val="008E6D69"/>
    <w:rsid w:val="008F11F2"/>
    <w:rsid w:val="008F2B52"/>
    <w:rsid w:val="008F30E2"/>
    <w:rsid w:val="008F6BBE"/>
    <w:rsid w:val="00905305"/>
    <w:rsid w:val="00905600"/>
    <w:rsid w:val="009060D0"/>
    <w:rsid w:val="0091590B"/>
    <w:rsid w:val="00922435"/>
    <w:rsid w:val="0092523B"/>
    <w:rsid w:val="00925BFD"/>
    <w:rsid w:val="00934BF8"/>
    <w:rsid w:val="00940DD0"/>
    <w:rsid w:val="00942856"/>
    <w:rsid w:val="00942E30"/>
    <w:rsid w:val="00944E70"/>
    <w:rsid w:val="00950067"/>
    <w:rsid w:val="00950C96"/>
    <w:rsid w:val="009538AB"/>
    <w:rsid w:val="00953C8B"/>
    <w:rsid w:val="009574CB"/>
    <w:rsid w:val="00957655"/>
    <w:rsid w:val="00957DAA"/>
    <w:rsid w:val="00963387"/>
    <w:rsid w:val="0096574A"/>
    <w:rsid w:val="009722C1"/>
    <w:rsid w:val="00972899"/>
    <w:rsid w:val="0097370E"/>
    <w:rsid w:val="009812AF"/>
    <w:rsid w:val="0098601D"/>
    <w:rsid w:val="0099354B"/>
    <w:rsid w:val="009A0C62"/>
    <w:rsid w:val="009A3CBD"/>
    <w:rsid w:val="009A6CE5"/>
    <w:rsid w:val="009A774E"/>
    <w:rsid w:val="009B2AE6"/>
    <w:rsid w:val="009B34A8"/>
    <w:rsid w:val="009C5011"/>
    <w:rsid w:val="009D284C"/>
    <w:rsid w:val="009D47C8"/>
    <w:rsid w:val="009E27B0"/>
    <w:rsid w:val="009E54E5"/>
    <w:rsid w:val="009F1077"/>
    <w:rsid w:val="009F4499"/>
    <w:rsid w:val="009F5C20"/>
    <w:rsid w:val="009F67EE"/>
    <w:rsid w:val="00A03262"/>
    <w:rsid w:val="00A04314"/>
    <w:rsid w:val="00A04615"/>
    <w:rsid w:val="00A11389"/>
    <w:rsid w:val="00A178C5"/>
    <w:rsid w:val="00A219C7"/>
    <w:rsid w:val="00A2381B"/>
    <w:rsid w:val="00A26361"/>
    <w:rsid w:val="00A3003C"/>
    <w:rsid w:val="00A3077C"/>
    <w:rsid w:val="00A31845"/>
    <w:rsid w:val="00A3479F"/>
    <w:rsid w:val="00A5415D"/>
    <w:rsid w:val="00A63E3A"/>
    <w:rsid w:val="00A64FAA"/>
    <w:rsid w:val="00A71036"/>
    <w:rsid w:val="00A76E67"/>
    <w:rsid w:val="00A80B75"/>
    <w:rsid w:val="00A8443F"/>
    <w:rsid w:val="00A944F1"/>
    <w:rsid w:val="00AA6114"/>
    <w:rsid w:val="00AB5DF4"/>
    <w:rsid w:val="00AB6F1B"/>
    <w:rsid w:val="00AB7C97"/>
    <w:rsid w:val="00AC1796"/>
    <w:rsid w:val="00AC19C5"/>
    <w:rsid w:val="00AC6FF2"/>
    <w:rsid w:val="00AC7A59"/>
    <w:rsid w:val="00AD2D4F"/>
    <w:rsid w:val="00AE0EC1"/>
    <w:rsid w:val="00AE1867"/>
    <w:rsid w:val="00AE1AB4"/>
    <w:rsid w:val="00AE2931"/>
    <w:rsid w:val="00AE30D9"/>
    <w:rsid w:val="00AE36C0"/>
    <w:rsid w:val="00AF4AC9"/>
    <w:rsid w:val="00AF5E6F"/>
    <w:rsid w:val="00B03B0A"/>
    <w:rsid w:val="00B07A88"/>
    <w:rsid w:val="00B11CD5"/>
    <w:rsid w:val="00B16609"/>
    <w:rsid w:val="00B21FFF"/>
    <w:rsid w:val="00B246BA"/>
    <w:rsid w:val="00B24973"/>
    <w:rsid w:val="00B24EDA"/>
    <w:rsid w:val="00B27777"/>
    <w:rsid w:val="00B374C0"/>
    <w:rsid w:val="00B3786C"/>
    <w:rsid w:val="00B42A5A"/>
    <w:rsid w:val="00B42E3F"/>
    <w:rsid w:val="00B47641"/>
    <w:rsid w:val="00B53AB1"/>
    <w:rsid w:val="00B601E0"/>
    <w:rsid w:val="00B81496"/>
    <w:rsid w:val="00B82A0F"/>
    <w:rsid w:val="00B82B7E"/>
    <w:rsid w:val="00B9108E"/>
    <w:rsid w:val="00B91F88"/>
    <w:rsid w:val="00B922AD"/>
    <w:rsid w:val="00B92776"/>
    <w:rsid w:val="00B95F6A"/>
    <w:rsid w:val="00BA0CED"/>
    <w:rsid w:val="00BA70F1"/>
    <w:rsid w:val="00BB2B75"/>
    <w:rsid w:val="00BC48F8"/>
    <w:rsid w:val="00BC555C"/>
    <w:rsid w:val="00BC6C20"/>
    <w:rsid w:val="00BD5850"/>
    <w:rsid w:val="00BE139F"/>
    <w:rsid w:val="00BF18C8"/>
    <w:rsid w:val="00C01A18"/>
    <w:rsid w:val="00C03BFA"/>
    <w:rsid w:val="00C11162"/>
    <w:rsid w:val="00C22165"/>
    <w:rsid w:val="00C2330C"/>
    <w:rsid w:val="00C2639B"/>
    <w:rsid w:val="00C343D3"/>
    <w:rsid w:val="00C3796F"/>
    <w:rsid w:val="00C469AD"/>
    <w:rsid w:val="00C50B78"/>
    <w:rsid w:val="00C51380"/>
    <w:rsid w:val="00C52B40"/>
    <w:rsid w:val="00C5509E"/>
    <w:rsid w:val="00C61D04"/>
    <w:rsid w:val="00C6478A"/>
    <w:rsid w:val="00C713DF"/>
    <w:rsid w:val="00C71C36"/>
    <w:rsid w:val="00C75142"/>
    <w:rsid w:val="00C82A8E"/>
    <w:rsid w:val="00C87CDC"/>
    <w:rsid w:val="00C906C0"/>
    <w:rsid w:val="00C92CF6"/>
    <w:rsid w:val="00CB03A3"/>
    <w:rsid w:val="00CC4B82"/>
    <w:rsid w:val="00CC4F99"/>
    <w:rsid w:val="00CD3FC4"/>
    <w:rsid w:val="00CD6D98"/>
    <w:rsid w:val="00CD72FE"/>
    <w:rsid w:val="00CD7FB9"/>
    <w:rsid w:val="00CE2323"/>
    <w:rsid w:val="00CE2855"/>
    <w:rsid w:val="00CE5DB6"/>
    <w:rsid w:val="00CF04C7"/>
    <w:rsid w:val="00CF412E"/>
    <w:rsid w:val="00CF57A1"/>
    <w:rsid w:val="00D002A6"/>
    <w:rsid w:val="00D104F6"/>
    <w:rsid w:val="00D11B68"/>
    <w:rsid w:val="00D25D2D"/>
    <w:rsid w:val="00D27CA1"/>
    <w:rsid w:val="00D31131"/>
    <w:rsid w:val="00D350FF"/>
    <w:rsid w:val="00D372CA"/>
    <w:rsid w:val="00D37CC4"/>
    <w:rsid w:val="00D40F0C"/>
    <w:rsid w:val="00D46BA2"/>
    <w:rsid w:val="00D56D50"/>
    <w:rsid w:val="00D57B45"/>
    <w:rsid w:val="00D610AB"/>
    <w:rsid w:val="00D6295E"/>
    <w:rsid w:val="00D66F16"/>
    <w:rsid w:val="00D7083A"/>
    <w:rsid w:val="00D713CC"/>
    <w:rsid w:val="00D73F5E"/>
    <w:rsid w:val="00D758F1"/>
    <w:rsid w:val="00D775CD"/>
    <w:rsid w:val="00D82BFB"/>
    <w:rsid w:val="00D85F75"/>
    <w:rsid w:val="00D9114B"/>
    <w:rsid w:val="00D911D9"/>
    <w:rsid w:val="00D9399B"/>
    <w:rsid w:val="00D94986"/>
    <w:rsid w:val="00DA7EC0"/>
    <w:rsid w:val="00DB050C"/>
    <w:rsid w:val="00DB10AF"/>
    <w:rsid w:val="00DB2CD8"/>
    <w:rsid w:val="00DB596A"/>
    <w:rsid w:val="00DB774B"/>
    <w:rsid w:val="00DC00D2"/>
    <w:rsid w:val="00DC05F8"/>
    <w:rsid w:val="00DC0CC2"/>
    <w:rsid w:val="00DC16EB"/>
    <w:rsid w:val="00DC6EC6"/>
    <w:rsid w:val="00DC7AA0"/>
    <w:rsid w:val="00DD2B1D"/>
    <w:rsid w:val="00DD4693"/>
    <w:rsid w:val="00DE545A"/>
    <w:rsid w:val="00DE7905"/>
    <w:rsid w:val="00DF3075"/>
    <w:rsid w:val="00E00A02"/>
    <w:rsid w:val="00E03BE4"/>
    <w:rsid w:val="00E07EA4"/>
    <w:rsid w:val="00E21DC1"/>
    <w:rsid w:val="00E22F07"/>
    <w:rsid w:val="00E30F1C"/>
    <w:rsid w:val="00E36B75"/>
    <w:rsid w:val="00E41BC4"/>
    <w:rsid w:val="00E43277"/>
    <w:rsid w:val="00E452E8"/>
    <w:rsid w:val="00E45C92"/>
    <w:rsid w:val="00E47143"/>
    <w:rsid w:val="00E5027B"/>
    <w:rsid w:val="00E52A70"/>
    <w:rsid w:val="00E62A0D"/>
    <w:rsid w:val="00E6642F"/>
    <w:rsid w:val="00E66920"/>
    <w:rsid w:val="00E70DB2"/>
    <w:rsid w:val="00E76C57"/>
    <w:rsid w:val="00E8082B"/>
    <w:rsid w:val="00E831B3"/>
    <w:rsid w:val="00E84CCE"/>
    <w:rsid w:val="00E8778A"/>
    <w:rsid w:val="00E9167C"/>
    <w:rsid w:val="00E9184B"/>
    <w:rsid w:val="00E93161"/>
    <w:rsid w:val="00E95565"/>
    <w:rsid w:val="00E97B86"/>
    <w:rsid w:val="00EA4656"/>
    <w:rsid w:val="00EB0F40"/>
    <w:rsid w:val="00EB1006"/>
    <w:rsid w:val="00EB22F8"/>
    <w:rsid w:val="00EB3D6E"/>
    <w:rsid w:val="00EC1B26"/>
    <w:rsid w:val="00ED1EC1"/>
    <w:rsid w:val="00ED3281"/>
    <w:rsid w:val="00ED5091"/>
    <w:rsid w:val="00ED7473"/>
    <w:rsid w:val="00EE4BBA"/>
    <w:rsid w:val="00EF2B24"/>
    <w:rsid w:val="00EF539C"/>
    <w:rsid w:val="00EF6F7F"/>
    <w:rsid w:val="00F00068"/>
    <w:rsid w:val="00F05B54"/>
    <w:rsid w:val="00F05E4B"/>
    <w:rsid w:val="00F07D9A"/>
    <w:rsid w:val="00F13868"/>
    <w:rsid w:val="00F13C1F"/>
    <w:rsid w:val="00F14911"/>
    <w:rsid w:val="00F20B23"/>
    <w:rsid w:val="00F236F2"/>
    <w:rsid w:val="00F326DF"/>
    <w:rsid w:val="00F34003"/>
    <w:rsid w:val="00F34A7C"/>
    <w:rsid w:val="00F372CC"/>
    <w:rsid w:val="00F40201"/>
    <w:rsid w:val="00F534B0"/>
    <w:rsid w:val="00F6162A"/>
    <w:rsid w:val="00F64C6A"/>
    <w:rsid w:val="00F70332"/>
    <w:rsid w:val="00F71344"/>
    <w:rsid w:val="00F71EA9"/>
    <w:rsid w:val="00F75059"/>
    <w:rsid w:val="00F80BEC"/>
    <w:rsid w:val="00F90C56"/>
    <w:rsid w:val="00F93D8A"/>
    <w:rsid w:val="00F94D87"/>
    <w:rsid w:val="00F95809"/>
    <w:rsid w:val="00FA629C"/>
    <w:rsid w:val="00FB1497"/>
    <w:rsid w:val="00FB35C2"/>
    <w:rsid w:val="00FB4C8D"/>
    <w:rsid w:val="00FB7F1A"/>
    <w:rsid w:val="00FC4F79"/>
    <w:rsid w:val="00FD1FF4"/>
    <w:rsid w:val="00FE0109"/>
    <w:rsid w:val="00FE355B"/>
    <w:rsid w:val="00FF070B"/>
    <w:rsid w:val="00FF08A4"/>
    <w:rsid w:val="00FF611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66A9A-C7A0-4CF6-A444-C5E86993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68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5011"/>
    <w:pPr>
      <w:ind w:left="720"/>
      <w:contextualSpacing/>
    </w:pPr>
  </w:style>
  <w:style w:type="paragraph" w:styleId="a5">
    <w:name w:val="header"/>
    <w:basedOn w:val="a"/>
    <w:link w:val="a6"/>
    <w:uiPriority w:val="99"/>
    <w:unhideWhenUsed/>
    <w:rsid w:val="00E45C92"/>
    <w:pPr>
      <w:tabs>
        <w:tab w:val="center" w:pos="4536"/>
        <w:tab w:val="right" w:pos="9072"/>
      </w:tabs>
      <w:spacing w:after="0" w:line="240" w:lineRule="auto"/>
    </w:pPr>
  </w:style>
  <w:style w:type="character" w:customStyle="1" w:styleId="a6">
    <w:name w:val="כותרת עליונה תו"/>
    <w:basedOn w:val="a0"/>
    <w:link w:val="a5"/>
    <w:uiPriority w:val="99"/>
    <w:rsid w:val="00E45C92"/>
  </w:style>
  <w:style w:type="paragraph" w:styleId="a7">
    <w:name w:val="footer"/>
    <w:basedOn w:val="a"/>
    <w:link w:val="a8"/>
    <w:uiPriority w:val="99"/>
    <w:unhideWhenUsed/>
    <w:rsid w:val="00E45C92"/>
    <w:pPr>
      <w:tabs>
        <w:tab w:val="center" w:pos="4536"/>
        <w:tab w:val="right" w:pos="9072"/>
      </w:tabs>
      <w:spacing w:after="0" w:line="240" w:lineRule="auto"/>
    </w:pPr>
  </w:style>
  <w:style w:type="character" w:customStyle="1" w:styleId="a8">
    <w:name w:val="כותרת תחתונה תו"/>
    <w:basedOn w:val="a0"/>
    <w:link w:val="a7"/>
    <w:uiPriority w:val="99"/>
    <w:rsid w:val="00E45C92"/>
  </w:style>
  <w:style w:type="character" w:styleId="Hyperlink">
    <w:name w:val="Hyperlink"/>
    <w:basedOn w:val="a0"/>
    <w:uiPriority w:val="99"/>
    <w:unhideWhenUsed/>
    <w:rsid w:val="005274FB"/>
    <w:rPr>
      <w:color w:val="0000FF" w:themeColor="hyperlink"/>
      <w:u w:val="single"/>
    </w:rPr>
  </w:style>
  <w:style w:type="paragraph" w:styleId="NormalWeb">
    <w:name w:val="Normal (Web)"/>
    <w:basedOn w:val="a"/>
    <w:uiPriority w:val="99"/>
    <w:semiHidden/>
    <w:unhideWhenUsed/>
    <w:rsid w:val="005274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9">
    <w:name w:val="Strong"/>
    <w:basedOn w:val="a0"/>
    <w:uiPriority w:val="22"/>
    <w:qFormat/>
    <w:rsid w:val="004F307E"/>
    <w:rPr>
      <w:b/>
      <w:bCs/>
    </w:rPr>
  </w:style>
  <w:style w:type="paragraph" w:styleId="aa">
    <w:name w:val="caption"/>
    <w:basedOn w:val="a"/>
    <w:next w:val="a"/>
    <w:qFormat/>
    <w:rsid w:val="00E76C57"/>
    <w:pPr>
      <w:tabs>
        <w:tab w:val="num" w:pos="648"/>
        <w:tab w:val="right" w:pos="9070"/>
      </w:tabs>
      <w:spacing w:after="120" w:line="280" w:lineRule="atLeast"/>
      <w:jc w:val="center"/>
    </w:pPr>
    <w:rPr>
      <w:rFonts w:ascii="Arial" w:eastAsia="Times New Roman" w:hAnsi="Arial" w:cs="Times New Roman"/>
      <w:i/>
      <w:iCs/>
      <w:szCs w:val="24"/>
      <w:lang w:eastAsia="de-DE"/>
    </w:rPr>
  </w:style>
  <w:style w:type="paragraph" w:styleId="ab">
    <w:name w:val="Balloon Text"/>
    <w:basedOn w:val="a"/>
    <w:link w:val="ac"/>
    <w:uiPriority w:val="99"/>
    <w:semiHidden/>
    <w:unhideWhenUsed/>
    <w:rsid w:val="00E76C57"/>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E76C57"/>
    <w:rPr>
      <w:rFonts w:ascii="Tahoma" w:hAnsi="Tahoma" w:cs="Tahoma"/>
      <w:sz w:val="16"/>
      <w:szCs w:val="16"/>
    </w:rPr>
  </w:style>
  <w:style w:type="character" w:styleId="ad">
    <w:name w:val="annotation reference"/>
    <w:basedOn w:val="a0"/>
    <w:uiPriority w:val="99"/>
    <w:semiHidden/>
    <w:unhideWhenUsed/>
    <w:rsid w:val="000D3613"/>
    <w:rPr>
      <w:sz w:val="16"/>
      <w:szCs w:val="16"/>
    </w:rPr>
  </w:style>
  <w:style w:type="paragraph" w:styleId="ae">
    <w:name w:val="annotation text"/>
    <w:basedOn w:val="a"/>
    <w:link w:val="af"/>
    <w:uiPriority w:val="99"/>
    <w:unhideWhenUsed/>
    <w:rsid w:val="000D3613"/>
    <w:pPr>
      <w:spacing w:line="240" w:lineRule="auto"/>
    </w:pPr>
    <w:rPr>
      <w:sz w:val="20"/>
      <w:szCs w:val="20"/>
    </w:rPr>
  </w:style>
  <w:style w:type="character" w:customStyle="1" w:styleId="af">
    <w:name w:val="טקסט הערה תו"/>
    <w:basedOn w:val="a0"/>
    <w:link w:val="ae"/>
    <w:uiPriority w:val="99"/>
    <w:rsid w:val="000D3613"/>
    <w:rPr>
      <w:sz w:val="20"/>
      <w:szCs w:val="20"/>
    </w:rPr>
  </w:style>
  <w:style w:type="paragraph" w:styleId="af0">
    <w:name w:val="annotation subject"/>
    <w:basedOn w:val="ae"/>
    <w:next w:val="ae"/>
    <w:link w:val="af1"/>
    <w:uiPriority w:val="99"/>
    <w:semiHidden/>
    <w:unhideWhenUsed/>
    <w:rsid w:val="000D3613"/>
    <w:rPr>
      <w:b/>
      <w:bCs/>
    </w:rPr>
  </w:style>
  <w:style w:type="character" w:customStyle="1" w:styleId="af1">
    <w:name w:val="נושא הערה תו"/>
    <w:basedOn w:val="af"/>
    <w:link w:val="af0"/>
    <w:uiPriority w:val="99"/>
    <w:semiHidden/>
    <w:rsid w:val="000D3613"/>
    <w:rPr>
      <w:b/>
      <w:bCs/>
      <w:sz w:val="20"/>
      <w:szCs w:val="20"/>
    </w:rPr>
  </w:style>
  <w:style w:type="paragraph" w:customStyle="1" w:styleId="Default">
    <w:name w:val="Default"/>
    <w:rsid w:val="00840505"/>
    <w:pPr>
      <w:autoSpaceDE w:val="0"/>
      <w:autoSpaceDN w:val="0"/>
      <w:adjustRightInd w:val="0"/>
      <w:spacing w:after="0" w:line="240" w:lineRule="auto"/>
    </w:pPr>
    <w:rPr>
      <w:rFonts w:ascii="Calibri" w:hAnsi="Calibri" w:cs="Calibri"/>
      <w:color w:val="000000"/>
      <w:sz w:val="24"/>
      <w:szCs w:val="24"/>
    </w:rPr>
  </w:style>
  <w:style w:type="character" w:customStyle="1" w:styleId="NichtaufgelsteErwhnung1">
    <w:name w:val="Nicht aufgelöste Erwähnung1"/>
    <w:basedOn w:val="a0"/>
    <w:uiPriority w:val="99"/>
    <w:semiHidden/>
    <w:unhideWhenUsed/>
    <w:rsid w:val="00A5415D"/>
    <w:rPr>
      <w:color w:val="605E5C"/>
      <w:shd w:val="clear" w:color="auto" w:fill="E1DFDD"/>
    </w:rPr>
  </w:style>
  <w:style w:type="character" w:customStyle="1" w:styleId="NichtaufgelsteErwhnung2">
    <w:name w:val="Nicht aufgelöste Erwähnung2"/>
    <w:basedOn w:val="a0"/>
    <w:uiPriority w:val="99"/>
    <w:semiHidden/>
    <w:unhideWhenUsed/>
    <w:rsid w:val="00775310"/>
    <w:rPr>
      <w:color w:val="605E5C"/>
      <w:shd w:val="clear" w:color="auto" w:fill="E1DFDD"/>
    </w:rPr>
  </w:style>
  <w:style w:type="character" w:styleId="FollowedHyperlink">
    <w:name w:val="FollowedHyperlink"/>
    <w:basedOn w:val="a0"/>
    <w:uiPriority w:val="99"/>
    <w:semiHidden/>
    <w:unhideWhenUsed/>
    <w:rsid w:val="00775310"/>
    <w:rPr>
      <w:color w:val="800080" w:themeColor="followedHyperlink"/>
      <w:u w:val="single"/>
    </w:rPr>
  </w:style>
  <w:style w:type="character" w:customStyle="1" w:styleId="1">
    <w:name w:val="אזכור לא מזוהה1"/>
    <w:basedOn w:val="a0"/>
    <w:uiPriority w:val="99"/>
    <w:semiHidden/>
    <w:unhideWhenUsed/>
    <w:rsid w:val="0075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92156">
      <w:bodyDiv w:val="1"/>
      <w:marLeft w:val="0"/>
      <w:marRight w:val="0"/>
      <w:marTop w:val="0"/>
      <w:marBottom w:val="0"/>
      <w:divBdr>
        <w:top w:val="none" w:sz="0" w:space="0" w:color="auto"/>
        <w:left w:val="none" w:sz="0" w:space="0" w:color="auto"/>
        <w:bottom w:val="none" w:sz="0" w:space="0" w:color="auto"/>
        <w:right w:val="none" w:sz="0" w:space="0" w:color="auto"/>
      </w:divBdr>
      <w:divsChild>
        <w:div w:id="1499804557">
          <w:marLeft w:val="0"/>
          <w:marRight w:val="0"/>
          <w:marTop w:val="0"/>
          <w:marBottom w:val="0"/>
          <w:divBdr>
            <w:top w:val="none" w:sz="0" w:space="0" w:color="auto"/>
            <w:left w:val="none" w:sz="0" w:space="0" w:color="auto"/>
            <w:bottom w:val="none" w:sz="0" w:space="0" w:color="auto"/>
            <w:right w:val="none" w:sz="0" w:space="0" w:color="auto"/>
          </w:divBdr>
        </w:div>
        <w:div w:id="1168598864">
          <w:marLeft w:val="0"/>
          <w:marRight w:val="0"/>
          <w:marTop w:val="0"/>
          <w:marBottom w:val="0"/>
          <w:divBdr>
            <w:top w:val="none" w:sz="0" w:space="0" w:color="auto"/>
            <w:left w:val="none" w:sz="0" w:space="0" w:color="auto"/>
            <w:bottom w:val="none" w:sz="0" w:space="0" w:color="auto"/>
            <w:right w:val="none" w:sz="0" w:space="0" w:color="auto"/>
          </w:divBdr>
        </w:div>
      </w:divsChild>
    </w:div>
    <w:div w:id="339351506">
      <w:bodyDiv w:val="1"/>
      <w:marLeft w:val="0"/>
      <w:marRight w:val="0"/>
      <w:marTop w:val="0"/>
      <w:marBottom w:val="0"/>
      <w:divBdr>
        <w:top w:val="none" w:sz="0" w:space="0" w:color="auto"/>
        <w:left w:val="none" w:sz="0" w:space="0" w:color="auto"/>
        <w:bottom w:val="none" w:sz="0" w:space="0" w:color="auto"/>
        <w:right w:val="none" w:sz="0" w:space="0" w:color="auto"/>
      </w:divBdr>
    </w:div>
    <w:div w:id="1141845709">
      <w:bodyDiv w:val="1"/>
      <w:marLeft w:val="0"/>
      <w:marRight w:val="0"/>
      <w:marTop w:val="0"/>
      <w:marBottom w:val="0"/>
      <w:divBdr>
        <w:top w:val="none" w:sz="0" w:space="0" w:color="auto"/>
        <w:left w:val="none" w:sz="0" w:space="0" w:color="auto"/>
        <w:bottom w:val="none" w:sz="0" w:space="0" w:color="auto"/>
        <w:right w:val="none" w:sz="0" w:space="0" w:color="auto"/>
      </w:divBdr>
    </w:div>
    <w:div w:id="1330258268">
      <w:bodyDiv w:val="1"/>
      <w:marLeft w:val="0"/>
      <w:marRight w:val="0"/>
      <w:marTop w:val="0"/>
      <w:marBottom w:val="0"/>
      <w:divBdr>
        <w:top w:val="none" w:sz="0" w:space="0" w:color="auto"/>
        <w:left w:val="none" w:sz="0" w:space="0" w:color="auto"/>
        <w:bottom w:val="none" w:sz="0" w:space="0" w:color="auto"/>
        <w:right w:val="none" w:sz="0" w:space="0" w:color="auto"/>
      </w:divBdr>
    </w:div>
    <w:div w:id="19729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AB4F-5229-4C28-9BD5-C36A5476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540</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iC-Haus GmbH</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Irina</dc:creator>
  <cp:lastModifiedBy>Galit-B.Roman</cp:lastModifiedBy>
  <cp:revision>7</cp:revision>
  <cp:lastPrinted>2025-10-13T08:53:00Z</cp:lastPrinted>
  <dcterms:created xsi:type="dcterms:W3CDTF">2025-10-13T07:31:00Z</dcterms:created>
  <dcterms:modified xsi:type="dcterms:W3CDTF">2025-11-04T08:56:00Z</dcterms:modified>
</cp:coreProperties>
</file>